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Harrison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Snyder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out@nisummit.com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5:00 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 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 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 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24th of 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 24th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 25th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unimaginable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 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disingenuous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 27th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 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 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 xml:space="preserve">War in Ukraine Webinar - May 19th 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